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ED" w:rsidRDefault="00590AED" w:rsidP="00590AED">
      <w:pPr>
        <w:pStyle w:val="NormalWeb"/>
        <w:bidi/>
        <w:spacing w:before="120" w:beforeAutospacing="0" w:after="120" w:afterAutospacing="0" w:line="60" w:lineRule="atLeast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بسمه تعالی</w:t>
      </w:r>
    </w:p>
    <w:p w:rsidR="00590AED" w:rsidRDefault="00590AED" w:rsidP="00590AED">
      <w:pPr>
        <w:pStyle w:val="NormalWeb"/>
        <w:bidi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قرآن کریم از جانب خالق برای</w:t>
      </w:r>
      <w:r w:rsidRPr="00A703F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هدایت خلق به صراط مستقیم نازل شده است که از این طریق بیماری‌های روحی و اخلاقی بشر را بهبود بخشد و سعادت مادّی و معنوی او را تأمین نماید. امام امیرالمؤمنین علی؟ع؟ درباره ویژگی‌های قرآن می‌فرماید: «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عَلَيْكُمْ بِكِتَابِ اللَّهِ فَإِنَّهُ الْحَبْلُ الْمَتِينُ وَ النُّورُ الْمُبِينُ وَ الشِّفَاءُ النَّافِعُ وَ الرِّيُّ النَّاقِعُ وَ الْعِصْمَةُ لِلْمُتَمَسِّكِ وَ النَّجَاةُ لِلْمُتَعَلِّقِ لَا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يَعْوَجُ‏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فَيُقَامَ‏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وَ لَا يَزِيغُ فَيُسْتَعْتَبَ وَ لَا تُخْلِقُهُ كَثْرَةُ الرَّدِّ وَ وُلُوجُ السَّمْعِ مَنْ قَالَ بِهِ صَدَقَ وَ مَنْ عَمِلَ بِهِ سَبَقَ‏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.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بر شما باد به کتاب خدا که ریسمانی محکم و نوری آشکار و درمانی سودمند است که تشنگی را فرو می‌نشاند. نگهدارنده‌ی کسی است که به آن تمسّک جوید و نجات‌بخش کسی که به آن درآویزد. کجی ندارد تا راست گردد و گرایش به باطل ندارد تا از آن بازگردانده شود. خواندن بسیار و شنیدن پیاپیِ آیات، کهنه‌اش نمی‌سازد. کسی که با قرآن سخن گوید راست گفته و هرکس به آن عمل کند پیشی گرفته است. نهج البلاغه، خطبه‌ی 157».</w:t>
      </w:r>
    </w:p>
    <w:p w:rsidR="00590AED" w:rsidRDefault="00590AED" w:rsidP="00590AED">
      <w:pPr>
        <w:pStyle w:val="NormalWeb"/>
        <w:bidi/>
        <w:rPr>
          <w:sz w:val="32"/>
          <w:szCs w:val="32"/>
          <w:rtl/>
        </w:rPr>
      </w:pP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کتابی که پیش روی شماست جلد اوّل از تفسیر سوره‌ی نساء است که اثر دیگری از آثار گران‌سنگ عالم گرامی، مفسّر توانا حضرت آیت الله سیّد محمّد ضیاءآبادی</w:t>
      </w:r>
      <w:r w:rsidRPr="009E6A2D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می‌باشد. ایشان درباره انتخاب آیاتی از این سوره برای بحث و توضیح فرموده‌اند: «</w:t>
      </w:r>
      <w:r w:rsidRPr="00596AEF">
        <w:rPr>
          <w:rFonts w:hint="cs"/>
          <w:sz w:val="32"/>
          <w:szCs w:val="32"/>
          <w:rtl/>
        </w:rPr>
        <w:t>یک قسمت مربوط به تفسیر جزئی</w:t>
      </w:r>
      <w:r>
        <w:rPr>
          <w:rFonts w:hint="cs"/>
          <w:sz w:val="32"/>
          <w:szCs w:val="32"/>
          <w:rtl/>
        </w:rPr>
        <w:t>ّ</w:t>
      </w:r>
      <w:r w:rsidRPr="00596AEF">
        <w:rPr>
          <w:rFonts w:hint="cs"/>
          <w:sz w:val="32"/>
          <w:szCs w:val="32"/>
          <w:rtl/>
        </w:rPr>
        <w:t>ات احکام حقوقی و جزایی در دین مقدّس</w:t>
      </w:r>
      <w:r>
        <w:rPr>
          <w:rFonts w:hint="cs"/>
          <w:sz w:val="32"/>
          <w:szCs w:val="32"/>
          <w:rtl/>
        </w:rPr>
        <w:t xml:space="preserve"> ا</w:t>
      </w:r>
      <w:r w:rsidRPr="00596AEF">
        <w:rPr>
          <w:rFonts w:hint="cs"/>
          <w:sz w:val="32"/>
          <w:szCs w:val="32"/>
          <w:rtl/>
        </w:rPr>
        <w:t>ست؛ مثل احکام ارث و طلاق و نکاح و حدود و تعزیرات که اینها جنبه‌ی مبنایی برای استعارات فقهی و فن</w:t>
      </w:r>
      <w:r>
        <w:rPr>
          <w:rFonts w:hint="cs"/>
          <w:sz w:val="32"/>
          <w:szCs w:val="32"/>
          <w:rtl/>
        </w:rPr>
        <w:t>ّ</w:t>
      </w:r>
      <w:r w:rsidRPr="00596AEF">
        <w:rPr>
          <w:rFonts w:hint="cs"/>
          <w:sz w:val="32"/>
          <w:szCs w:val="32"/>
          <w:rtl/>
        </w:rPr>
        <w:t>ی دارند که نفع کثیری برای مجلس ما، امثال من و شما ندارد. لذا از این جهت ما از آن آیات که مربوط به این مطالب است چشم‌پوشی می‌کنیم</w:t>
      </w:r>
      <w:r>
        <w:rPr>
          <w:rFonts w:hint="cs"/>
          <w:sz w:val="32"/>
          <w:szCs w:val="32"/>
          <w:rtl/>
        </w:rPr>
        <w:t xml:space="preserve"> و ب</w:t>
      </w:r>
      <w:r w:rsidRPr="00596AEF">
        <w:rPr>
          <w:rFonts w:hint="cs"/>
          <w:sz w:val="32"/>
          <w:szCs w:val="32"/>
          <w:rtl/>
        </w:rPr>
        <w:t>طور منتخب آیاتی</w:t>
      </w:r>
      <w:r>
        <w:rPr>
          <w:rFonts w:hint="cs"/>
          <w:sz w:val="32"/>
          <w:szCs w:val="32"/>
          <w:rtl/>
        </w:rPr>
        <w:t xml:space="preserve"> را</w:t>
      </w:r>
      <w:r w:rsidRPr="00596AEF">
        <w:rPr>
          <w:rFonts w:hint="cs"/>
          <w:sz w:val="32"/>
          <w:szCs w:val="32"/>
          <w:rtl/>
        </w:rPr>
        <w:t xml:space="preserve"> که</w:t>
      </w:r>
      <w:r>
        <w:rPr>
          <w:rFonts w:hint="cs"/>
          <w:sz w:val="32"/>
          <w:szCs w:val="32"/>
          <w:rtl/>
        </w:rPr>
        <w:t xml:space="preserve"> از جهت جنبه‌های اعتقادی، اخلاقی و عملی</w:t>
      </w:r>
      <w:r w:rsidRPr="00596AEF">
        <w:rPr>
          <w:rFonts w:hint="cs"/>
          <w:sz w:val="32"/>
          <w:szCs w:val="32"/>
          <w:rtl/>
        </w:rPr>
        <w:t xml:space="preserve"> می‌توان</w:t>
      </w:r>
      <w:r>
        <w:rPr>
          <w:rFonts w:hint="cs"/>
          <w:sz w:val="32"/>
          <w:szCs w:val="32"/>
          <w:rtl/>
        </w:rPr>
        <w:t>یم بهتر استفاده کنیم مورد بحث و توضیح قرار می‌دهیم».</w:t>
      </w:r>
    </w:p>
    <w:p w:rsidR="00590AED" w:rsidRDefault="00590AED" w:rsidP="00590AED">
      <w:pPr>
        <w:pStyle w:val="NormalWeb"/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خدای تعالی را شاکریم که توفیقمان داد تا این اثر ارزشمند را منتشر و در دسترس همگان قرار دهیم. امیدواریم مرضیّ خاطر حضرت ولیّ عصر، امام زمان ارواحنا فداه قرار گیرد.</w:t>
      </w:r>
    </w:p>
    <w:p w:rsidR="00590AED" w:rsidRDefault="00590AED" w:rsidP="00590AED">
      <w:pPr>
        <w:pStyle w:val="NormalWeb"/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توفیق بهره‌مندی از علوم قرآن و عمل به دستورات حیات‌بخش آن را برای عموم مسلمانان از ایزد متعال خواهانیم.</w:t>
      </w:r>
    </w:p>
    <w:p w:rsidR="00590AED" w:rsidRDefault="00590AED" w:rsidP="00590AED">
      <w:pPr>
        <w:pStyle w:val="NormalWeb"/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دفتر امور فرهنگی</w:t>
      </w:r>
    </w:p>
    <w:p w:rsidR="00590AED" w:rsidRPr="009E6A2D" w:rsidRDefault="00590AED" w:rsidP="00590AED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بنیاد خیریّه الزّهراء؟عها؟ </w:t>
      </w:r>
    </w:p>
    <w:p w:rsidR="00050771" w:rsidRDefault="00050771" w:rsidP="00590AED">
      <w:pPr>
        <w:bidi/>
        <w:rPr>
          <w:rFonts w:hint="cs"/>
          <w:lang w:bidi="fa-IR"/>
        </w:rPr>
      </w:pPr>
      <w:bookmarkStart w:id="0" w:name="_GoBack"/>
      <w:bookmarkEnd w:id="0"/>
    </w:p>
    <w:sectPr w:rsidR="00050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ED"/>
    <w:rsid w:val="00050771"/>
    <w:rsid w:val="00590AED"/>
    <w:rsid w:val="0069784C"/>
    <w:rsid w:val="007F291C"/>
    <w:rsid w:val="008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CD27B-C50E-42A4-995E-58BAE960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1669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2021-07-01T05:59:00Z</dcterms:created>
  <dcterms:modified xsi:type="dcterms:W3CDTF">2021-07-01T06:00:00Z</dcterms:modified>
</cp:coreProperties>
</file>